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Title"/>
        <w:rPr>
          <w:sz w:val="2"/>
        </w:rPr>
      </w:pPr>
      <w:r>
        <w:rPr>
          <w:sz w:val="2"/>
        </w:rPr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0</wp:posOffset>
                </wp:positionH>
                <wp:positionV relativeFrom="page">
                  <wp:posOffset>9382290</wp:posOffset>
                </wp:positionV>
                <wp:extent cx="7772400" cy="676275"/>
                <wp:effectExtent l="0" t="0" r="0" b="0"/>
                <wp:wrapNone/>
                <wp:docPr id="1" name="Group 1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" name="Group 1"/>
                      <wpg:cNvGrpSpPr/>
                      <wpg:grpSpPr>
                        <a:xfrm>
                          <a:off x="0" y="0"/>
                          <a:ext cx="7772400" cy="676275"/>
                          <a:chExt cx="7772400" cy="676275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0" y="0"/>
                            <a:ext cx="7772400" cy="67627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7772400" h="676275">
                                <a:moveTo>
                                  <a:pt x="7772400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76109"/>
                                </a:lnTo>
                                <a:lnTo>
                                  <a:pt x="7772400" y="676109"/>
                                </a:lnTo>
                                <a:lnTo>
                                  <a:pt x="7772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206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Graphic 3"/>
                        <wps:cNvSpPr/>
                        <wps:spPr>
                          <a:xfrm>
                            <a:off x="806517" y="39450"/>
                            <a:ext cx="1270" cy="46799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0" h="467995">
                                <a:moveTo>
                                  <a:pt x="0" y="467448"/>
                                </a:move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38100">
                            <a:solidFill>
                              <a:srgbClr val="FFFFFF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>
                        <pic:nvPicPr>
                          <pic:cNvPr id="4" name="Image 4"/>
                          <pic:cNvPicPr/>
                        </pic:nvPicPr>
                        <pic:blipFill>
                          <a:blip r:embed="rId5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6631305" y="60794"/>
                            <a:ext cx="581023" cy="561327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5" name="Image 5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4526279" y="62869"/>
                            <a:ext cx="1138553" cy="514980"/>
                          </a:xfrm>
                          <a:prstGeom prst="rect">
                            <a:avLst/>
                          </a:prstGeom>
                        </pic:spPr>
                      </pic:pic>
                      <pic:pic>
                        <pic:nvPicPr>
                          <pic:cNvPr id="6" name="Image 6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2817495" y="58889"/>
                            <a:ext cx="1047749" cy="598803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7" name="Textbox 7"/>
                        <wps:cNvSpPr txBox="1"/>
                        <wps:spPr>
                          <a:xfrm>
                            <a:off x="0" y="0"/>
                            <a:ext cx="7772400" cy="676275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>
                              <w:pPr>
                                <w:spacing w:before="55"/>
                                <w:ind w:left="1344" w:right="0" w:firstLine="0"/>
                                <w:jc w:val="left"/>
                                <w:rPr>
                                  <w:rFonts w:ascii="Trebuchet MS"/>
                                  <w:b/>
                                  <w:sz w:val="44"/>
                                </w:rPr>
                              </w:pPr>
                              <w:r>
                                <w:rPr>
                                  <w:rFonts w:ascii="Trebuchet MS"/>
                                  <w:b/>
                                  <w:color w:val="44546A"/>
                                  <w:w w:val="80"/>
                                  <w:sz w:val="44"/>
                                </w:rPr>
                                <w:t>HOSTED</w:t>
                              </w:r>
                              <w:r>
                                <w:rPr>
                                  <w:rFonts w:ascii="Trebuchet MS"/>
                                  <w:b/>
                                  <w:color w:val="44546A"/>
                                  <w:spacing w:val="-12"/>
                                  <w:sz w:val="44"/>
                                </w:rPr>
                                <w:t> </w:t>
                              </w:r>
                              <w:r>
                                <w:rPr>
                                  <w:rFonts w:ascii="Trebuchet MS"/>
                                  <w:b/>
                                  <w:color w:val="44546A"/>
                                  <w:spacing w:val="-5"/>
                                  <w:w w:val="90"/>
                                  <w:sz w:val="44"/>
                                </w:rPr>
                                <w:t>BY: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0pt;margin-top:738.763pt;width:612pt;height:53.25pt;mso-position-horizontal-relative:page;mso-position-vertical-relative:page;z-index:15728640" id="docshapegroup1" coordorigin="0,14775" coordsize="12240,1065">
                <v:rect style="position:absolute;left:0;top:14775;width:12240;height:1065" id="docshape2" filled="true" fillcolor="#002060" stroked="false">
                  <v:fill type="solid"/>
                </v:rect>
                <v:line style="position:absolute" from="1270,15574" to="1270,14837" stroked="true" strokeweight="3.0pt" strokecolor="#ffffff">
                  <v:stroke dashstyle="solid"/>
                </v:line>
                <v:shape style="position:absolute;left:10443;top:14871;width:915;height:884" type="#_x0000_t75" id="docshape3" stroked="false">
                  <v:imagedata r:id="rId5" o:title=""/>
                </v:shape>
                <v:shape style="position:absolute;left:7128;top:14874;width:1793;height:811" type="#_x0000_t75" id="docshape4" stroked="false">
                  <v:imagedata r:id="rId6" o:title=""/>
                </v:shape>
                <v:shape style="position:absolute;left:4437;top:14868;width:1650;height:943" type="#_x0000_t75" id="docshape5" stroked="false">
                  <v:imagedata r:id="rId7" o:title=""/>
                </v:shape>
                <v:shapetype id="_x0000_t202" o:spt="202" coordsize="21600,21600" path="m,l,21600r21600,l21600,xe">
                  <v:stroke joinstyle="miter"/>
                  <v:path gradientshapeok="t" o:connecttype="rect"/>
                </v:shapetype>
                <v:shape style="position:absolute;left:0;top:14775;width:12240;height:1065" type="#_x0000_t202" id="docshape6" filled="false" stroked="false">
                  <v:textbox inset="0,0,0,0">
                    <w:txbxContent>
                      <w:p>
                        <w:pPr>
                          <w:spacing w:before="55"/>
                          <w:ind w:left="1344" w:right="0" w:firstLine="0"/>
                          <w:jc w:val="left"/>
                          <w:rPr>
                            <w:rFonts w:ascii="Trebuchet MS"/>
                            <w:b/>
                            <w:sz w:val="44"/>
                          </w:rPr>
                        </w:pPr>
                        <w:r>
                          <w:rPr>
                            <w:rFonts w:ascii="Trebuchet MS"/>
                            <w:b/>
                            <w:color w:val="44546A"/>
                            <w:w w:val="80"/>
                            <w:sz w:val="44"/>
                          </w:rPr>
                          <w:t>HOSTED</w:t>
                        </w:r>
                        <w:r>
                          <w:rPr>
                            <w:rFonts w:ascii="Trebuchet MS"/>
                            <w:b/>
                            <w:color w:val="44546A"/>
                            <w:spacing w:val="-12"/>
                            <w:sz w:val="44"/>
                          </w:rPr>
                          <w:t> </w:t>
                        </w:r>
                        <w:r>
                          <w:rPr>
                            <w:rFonts w:ascii="Trebuchet MS"/>
                            <w:b/>
                            <w:color w:val="44546A"/>
                            <w:spacing w:val="-5"/>
                            <w:w w:val="90"/>
                            <w:sz w:val="44"/>
                          </w:rPr>
                          <w:t>BY:</w:t>
                        </w:r>
                      </w:p>
                    </w:txbxContent>
                  </v:textbox>
                  <w10:wrap type="none"/>
                </v:shape>
                <w10:wrap type="none"/>
              </v:group>
            </w:pict>
          </mc:Fallback>
        </mc:AlternateContent>
      </w:r>
    </w:p>
    <w:tbl>
      <w:tblPr>
        <w:tblW w:w="0" w:type="auto"/>
        <w:jc w:val="left"/>
        <w:tblInd w:w="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11520"/>
      </w:tblGrid>
      <w:tr>
        <w:trPr>
          <w:trHeight w:val="2377" w:hRule="atLeast"/>
        </w:trPr>
        <w:tc>
          <w:tcPr>
            <w:tcW w:w="11520" w:type="dxa"/>
          </w:tcPr>
          <w:p>
            <w:pPr>
              <w:pStyle w:val="TableParagraph"/>
              <w:spacing w:line="235" w:lineRule="auto"/>
              <w:ind w:left="187"/>
              <w:rPr>
                <w:rFonts w:ascii="Trebuchet MS"/>
                <w:b/>
                <w:sz w:val="66"/>
              </w:rPr>
            </w:pPr>
            <w:r>
              <w:rPr>
                <w:rFonts w:ascii="Trebuchet MS"/>
                <w:b/>
                <w:color w:val="44546A"/>
                <w:w w:val="85"/>
                <w:sz w:val="66"/>
              </w:rPr>
              <w:t>INTERNATIONAL</w:t>
            </w:r>
            <w:r>
              <w:rPr>
                <w:rFonts w:ascii="Trebuchet MS"/>
                <w:b/>
                <w:color w:val="44546A"/>
                <w:spacing w:val="-47"/>
                <w:w w:val="85"/>
                <w:sz w:val="66"/>
              </w:rPr>
              <w:t> </w:t>
            </w:r>
            <w:r>
              <w:rPr>
                <w:rFonts w:ascii="Trebuchet MS"/>
                <w:b/>
                <w:color w:val="44546A"/>
                <w:w w:val="85"/>
                <w:sz w:val="66"/>
              </w:rPr>
              <w:t>SEMINARS</w:t>
            </w:r>
            <w:r>
              <w:rPr>
                <w:rFonts w:ascii="Trebuchet MS"/>
                <w:b/>
                <w:color w:val="44546A"/>
                <w:spacing w:val="-47"/>
                <w:w w:val="85"/>
                <w:sz w:val="66"/>
              </w:rPr>
              <w:t> </w:t>
            </w:r>
            <w:r>
              <w:rPr>
                <w:rFonts w:ascii="Trebuchet MS"/>
                <w:b/>
                <w:color w:val="44546A"/>
                <w:w w:val="85"/>
                <w:sz w:val="66"/>
              </w:rPr>
              <w:t>IN</w:t>
            </w:r>
            <w:r>
              <w:rPr>
                <w:rFonts w:ascii="Trebuchet MS"/>
                <w:b/>
                <w:color w:val="44546A"/>
                <w:spacing w:val="-48"/>
                <w:w w:val="85"/>
                <w:sz w:val="66"/>
              </w:rPr>
              <w:t> </w:t>
            </w:r>
            <w:r>
              <w:rPr>
                <w:rFonts w:ascii="Trebuchet MS"/>
                <w:b/>
                <w:color w:val="44546A"/>
                <w:w w:val="85"/>
                <w:sz w:val="66"/>
              </w:rPr>
              <w:t>MATERIALS SCIENCE AND ENGINEERING</w:t>
            </w:r>
          </w:p>
          <w:p>
            <w:pPr>
              <w:pStyle w:val="TableParagraph"/>
              <w:spacing w:line="430" w:lineRule="exact"/>
              <w:ind w:left="187"/>
              <w:rPr>
                <w:rFonts w:ascii="Segoe UI Black"/>
                <w:sz w:val="32"/>
              </w:rPr>
            </w:pPr>
            <w:r>
              <w:rPr>
                <w:rFonts w:ascii="Segoe UI Black"/>
                <w:sz w:val="32"/>
              </w:rPr>
              <mc:AlternateContent>
                <mc:Choice Requires="wps">
                  <w:drawing>
                    <wp:anchor distT="0" distB="0" distL="0" distR="0" allowOverlap="1" layoutInCell="1" locked="0" behindDoc="1" simplePos="0" relativeHeight="487551488">
                      <wp:simplePos x="0" y="0"/>
                      <wp:positionH relativeFrom="column">
                        <wp:posOffset>1827143</wp:posOffset>
                      </wp:positionH>
                      <wp:positionV relativeFrom="paragraph">
                        <wp:posOffset>-239216</wp:posOffset>
                      </wp:positionV>
                      <wp:extent cx="5416550" cy="8510905"/>
                      <wp:effectExtent l="0" t="0" r="0" b="0"/>
                      <wp:wrapNone/>
                      <wp:docPr id="8" name="Group 8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8" name="Group 8"/>
                            <wpg:cNvGrpSpPr/>
                            <wpg:grpSpPr>
                              <a:xfrm>
                                <a:off x="0" y="0"/>
                                <a:ext cx="5416550" cy="8510905"/>
                                <a:chExt cx="5416550" cy="8510905"/>
                              </a:xfrm>
                            </wpg:grpSpPr>
                            <pic:pic>
                              <pic:nvPicPr>
                                <pic:cNvPr id="9" name="Image 9"/>
                                <pic:cNvPicPr/>
                              </pic:nvPicPr>
                              <pic:blipFill>
                                <a:blip r:embed="rId8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5416273" cy="851062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>
                              <pic:nvPicPr>
                                <pic:cNvPr id="10" name="Image 10"/>
                                <pic:cNvPicPr/>
                              </pic:nvPicPr>
                              <pic:blipFill>
                                <a:blip r:embed="rId9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3031876" y="512944"/>
                                  <a:ext cx="1998342" cy="240093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43.869568pt;margin-top:-18.835922pt;width:426.5pt;height:670.15pt;mso-position-horizontal-relative:column;mso-position-vertical-relative:paragraph;z-index:-15764992" id="docshapegroup7" coordorigin="2877,-377" coordsize="8530,13403">
                      <v:shape style="position:absolute;left:2877;top:-377;width:8530;height:13403" type="#_x0000_t75" id="docshape8" stroked="false">
                        <v:imagedata r:id="rId8" o:title=""/>
                      </v:shape>
                      <v:shape style="position:absolute;left:7652;top:431;width:3147;height:3781" type="#_x0000_t75" id="docshape9" stroked="false">
                        <v:imagedata r:id="rId9" o:title=""/>
                      </v:shape>
                      <w10:wrap type="none"/>
                    </v:group>
                  </w:pict>
                </mc:Fallback>
              </mc:AlternateContent>
            </w:r>
            <w:r>
              <w:rPr>
                <w:rFonts w:ascii="Segoe UI Black"/>
                <w:color w:val="0070C0"/>
                <w:spacing w:val="-2"/>
                <w:sz w:val="32"/>
              </w:rPr>
              <w:t>PPGCEM/DEMa/UFSCar</w:t>
            </w:r>
          </w:p>
        </w:tc>
      </w:tr>
      <w:tr>
        <w:trPr>
          <w:trHeight w:val="5406" w:hRule="atLeast"/>
        </w:trPr>
        <w:tc>
          <w:tcPr>
            <w:tcW w:w="11520" w:type="dxa"/>
          </w:tcPr>
          <w:p>
            <w:pPr>
              <w:pStyle w:val="TableParagraph"/>
              <w:spacing w:before="13"/>
              <w:rPr>
                <w:rFonts w:ascii="Times New Roman"/>
                <w:sz w:val="36"/>
              </w:rPr>
            </w:pPr>
          </w:p>
          <w:p>
            <w:pPr>
              <w:pStyle w:val="TableParagraph"/>
              <w:spacing w:line="437" w:lineRule="exact"/>
              <w:ind w:left="107"/>
              <w:rPr>
                <w:rFonts w:ascii="Segoe UI Black"/>
                <w:sz w:val="36"/>
              </w:rPr>
            </w:pPr>
            <w:r>
              <w:rPr>
                <w:rFonts w:ascii="Segoe UI Black"/>
                <w:color w:val="FFC000"/>
                <w:sz w:val="36"/>
              </w:rPr>
              <w:t>Dra.</w:t>
            </w:r>
            <w:r>
              <w:rPr>
                <w:rFonts w:ascii="Segoe UI Black"/>
                <w:color w:val="FFC000"/>
                <w:spacing w:val="-4"/>
                <w:sz w:val="36"/>
              </w:rPr>
              <w:t> </w:t>
            </w:r>
            <w:r>
              <w:rPr>
                <w:rFonts w:ascii="Segoe UI Black"/>
                <w:color w:val="FFC000"/>
                <w:sz w:val="36"/>
              </w:rPr>
              <w:t>LIVIA</w:t>
            </w:r>
            <w:r>
              <w:rPr>
                <w:rFonts w:ascii="Segoe UI Black"/>
                <w:color w:val="FFC000"/>
                <w:spacing w:val="-1"/>
                <w:sz w:val="36"/>
              </w:rPr>
              <w:t> </w:t>
            </w:r>
            <w:r>
              <w:rPr>
                <w:rFonts w:ascii="Segoe UI Black"/>
                <w:color w:val="FFC000"/>
                <w:sz w:val="36"/>
              </w:rPr>
              <w:t>CUPERTINO</w:t>
            </w:r>
            <w:r>
              <w:rPr>
                <w:rFonts w:ascii="Segoe UI Black"/>
                <w:color w:val="FFC000"/>
                <w:spacing w:val="-3"/>
                <w:sz w:val="36"/>
              </w:rPr>
              <w:t> </w:t>
            </w:r>
            <w:r>
              <w:rPr>
                <w:rFonts w:ascii="Segoe UI Black"/>
                <w:color w:val="FFC000"/>
                <w:spacing w:val="-2"/>
                <w:sz w:val="36"/>
              </w:rPr>
              <w:t>MALHEIROS</w:t>
            </w:r>
          </w:p>
          <w:p>
            <w:pPr>
              <w:pStyle w:val="TableParagraph"/>
              <w:spacing w:line="180" w:lineRule="auto" w:before="28"/>
              <w:ind w:left="108" w:right="7603"/>
              <w:rPr>
                <w:rFonts w:ascii="Segoe UI Black"/>
                <w:sz w:val="28"/>
              </w:rPr>
            </w:pPr>
            <w:r>
              <w:rPr>
                <w:rFonts w:ascii="Segoe UI Black"/>
                <w:color w:val="FFC000"/>
                <w:sz w:val="28"/>
              </w:rPr>
              <w:t>Assistant Professor Imperial</w:t>
            </w:r>
            <w:r>
              <w:rPr>
                <w:rFonts w:ascii="Segoe UI Black"/>
                <w:color w:val="FFC000"/>
                <w:spacing w:val="-20"/>
                <w:sz w:val="28"/>
              </w:rPr>
              <w:t> </w:t>
            </w:r>
            <w:r>
              <w:rPr>
                <w:rFonts w:ascii="Segoe UI Black"/>
                <w:color w:val="FFC000"/>
                <w:sz w:val="28"/>
              </w:rPr>
              <w:t>College</w:t>
            </w:r>
            <w:r>
              <w:rPr>
                <w:rFonts w:ascii="Segoe UI Black"/>
                <w:color w:val="FFC000"/>
                <w:spacing w:val="-19"/>
                <w:sz w:val="28"/>
              </w:rPr>
              <w:t> </w:t>
            </w:r>
            <w:r>
              <w:rPr>
                <w:rFonts w:ascii="Segoe UI Black"/>
                <w:color w:val="FFC000"/>
                <w:sz w:val="28"/>
              </w:rPr>
              <w:t>London</w:t>
            </w:r>
          </w:p>
          <w:p>
            <w:pPr>
              <w:pStyle w:val="TableParagraph"/>
              <w:spacing w:line="180" w:lineRule="auto"/>
              <w:ind w:left="108" w:right="3995"/>
              <w:rPr>
                <w:rFonts w:ascii="Segoe UI Black"/>
                <w:sz w:val="28"/>
              </w:rPr>
            </w:pPr>
            <w:r>
              <w:rPr>
                <w:rFonts w:ascii="Segoe UI Black"/>
                <w:color w:val="FFC000"/>
                <w:sz w:val="28"/>
              </w:rPr>
              <w:t>Department</w:t>
            </w:r>
            <w:r>
              <w:rPr>
                <w:rFonts w:ascii="Segoe UI Black"/>
                <w:color w:val="FFC000"/>
                <w:spacing w:val="-8"/>
                <w:sz w:val="28"/>
              </w:rPr>
              <w:t> </w:t>
            </w:r>
            <w:r>
              <w:rPr>
                <w:rFonts w:ascii="Segoe UI Black"/>
                <w:color w:val="FFC000"/>
                <w:sz w:val="28"/>
              </w:rPr>
              <w:t>of</w:t>
            </w:r>
            <w:r>
              <w:rPr>
                <w:rFonts w:ascii="Segoe UI Black"/>
                <w:color w:val="FFC000"/>
                <w:spacing w:val="-8"/>
                <w:sz w:val="28"/>
              </w:rPr>
              <w:t> </w:t>
            </w:r>
            <w:r>
              <w:rPr>
                <w:rFonts w:ascii="Segoe UI Black"/>
                <w:color w:val="FFC000"/>
                <w:sz w:val="28"/>
              </w:rPr>
              <w:t>civil</w:t>
            </w:r>
            <w:r>
              <w:rPr>
                <w:rFonts w:ascii="Segoe UI Black"/>
                <w:color w:val="FFC000"/>
                <w:spacing w:val="-6"/>
                <w:sz w:val="28"/>
              </w:rPr>
              <w:t> </w:t>
            </w:r>
            <w:r>
              <w:rPr>
                <w:rFonts w:ascii="Segoe UI Black"/>
                <w:color w:val="FFC000"/>
                <w:sz w:val="28"/>
              </w:rPr>
              <w:t>and</w:t>
            </w:r>
            <w:r>
              <w:rPr>
                <w:rFonts w:ascii="Segoe UI Black"/>
                <w:color w:val="FFC000"/>
                <w:spacing w:val="-7"/>
                <w:sz w:val="28"/>
              </w:rPr>
              <w:t> </w:t>
            </w:r>
            <w:r>
              <w:rPr>
                <w:rFonts w:ascii="Segoe UI Black"/>
                <w:color w:val="FFC000"/>
                <w:sz w:val="28"/>
              </w:rPr>
              <w:t>Environmental</w:t>
            </w:r>
            <w:r>
              <w:rPr>
                <w:rFonts w:ascii="Segoe UI Black"/>
                <w:color w:val="FFC000"/>
                <w:spacing w:val="-6"/>
                <w:sz w:val="28"/>
              </w:rPr>
              <w:t> </w:t>
            </w:r>
            <w:r>
              <w:rPr>
                <w:rFonts w:ascii="Segoe UI Black"/>
                <w:color w:val="FFC000"/>
                <w:sz w:val="28"/>
              </w:rPr>
              <w:t>Engineering </w:t>
            </w:r>
            <w:r>
              <w:rPr>
                <w:rFonts w:ascii="Segoe UI Black"/>
                <w:color w:val="FFC000"/>
                <w:spacing w:val="-6"/>
                <w:sz w:val="28"/>
              </w:rPr>
              <w:t>UK</w:t>
            </w:r>
          </w:p>
          <w:p>
            <w:pPr>
              <w:pStyle w:val="TableParagraph"/>
              <w:rPr>
                <w:rFonts w:ascii="Times New Roman"/>
                <w:sz w:val="28"/>
              </w:rPr>
            </w:pPr>
          </w:p>
          <w:p>
            <w:pPr>
              <w:pStyle w:val="TableParagraph"/>
              <w:rPr>
                <w:rFonts w:ascii="Times New Roman"/>
                <w:sz w:val="28"/>
              </w:rPr>
            </w:pPr>
          </w:p>
          <w:p>
            <w:pPr>
              <w:pStyle w:val="TableParagraph"/>
              <w:rPr>
                <w:rFonts w:ascii="Times New Roman"/>
                <w:sz w:val="28"/>
              </w:rPr>
            </w:pPr>
          </w:p>
          <w:p>
            <w:pPr>
              <w:pStyle w:val="TableParagraph"/>
              <w:rPr>
                <w:rFonts w:ascii="Times New Roman"/>
                <w:sz w:val="28"/>
              </w:rPr>
            </w:pPr>
          </w:p>
          <w:p>
            <w:pPr>
              <w:pStyle w:val="TableParagraph"/>
              <w:rPr>
                <w:rFonts w:ascii="Times New Roman"/>
                <w:sz w:val="28"/>
              </w:rPr>
            </w:pPr>
          </w:p>
          <w:p>
            <w:pPr>
              <w:pStyle w:val="TableParagraph"/>
              <w:spacing w:before="191"/>
              <w:rPr>
                <w:rFonts w:ascii="Times New Roman"/>
                <w:sz w:val="28"/>
              </w:rPr>
            </w:pPr>
          </w:p>
          <w:p>
            <w:pPr>
              <w:pStyle w:val="TableParagraph"/>
              <w:spacing w:line="225" w:lineRule="auto"/>
              <w:ind w:left="2963" w:hanging="1788"/>
              <w:rPr>
                <w:rFonts w:ascii="Trebuchet MS"/>
                <w:b/>
                <w:i/>
                <w:sz w:val="50"/>
              </w:rPr>
            </w:pPr>
            <w:r>
              <w:rPr>
                <w:rFonts w:ascii="Trebuchet MS"/>
                <w:b/>
                <w:i/>
                <w:w w:val="80"/>
                <w:sz w:val="50"/>
              </w:rPr>
              <w:t>UNDERSTANDING</w:t>
            </w:r>
            <w:r>
              <w:rPr>
                <w:rFonts w:ascii="Trebuchet MS"/>
                <w:b/>
                <w:i/>
                <w:spacing w:val="-25"/>
                <w:w w:val="80"/>
                <w:sz w:val="50"/>
              </w:rPr>
              <w:t> </w:t>
            </w:r>
            <w:r>
              <w:rPr>
                <w:rFonts w:ascii="Trebuchet MS"/>
                <w:b/>
                <w:i/>
                <w:w w:val="80"/>
                <w:sz w:val="50"/>
              </w:rPr>
              <w:t>HYDROGEN</w:t>
            </w:r>
            <w:r>
              <w:rPr>
                <w:rFonts w:ascii="Trebuchet MS"/>
                <w:b/>
                <w:i/>
                <w:spacing w:val="-25"/>
                <w:w w:val="80"/>
                <w:sz w:val="50"/>
              </w:rPr>
              <w:t> </w:t>
            </w:r>
            <w:r>
              <w:rPr>
                <w:rFonts w:ascii="Trebuchet MS"/>
                <w:b/>
                <w:i/>
                <w:w w:val="80"/>
                <w:sz w:val="50"/>
              </w:rPr>
              <w:t>ABSORPTION</w:t>
            </w:r>
            <w:r>
              <w:rPr>
                <w:rFonts w:ascii="Trebuchet MS"/>
                <w:b/>
                <w:i/>
                <w:spacing w:val="-21"/>
                <w:w w:val="80"/>
                <w:sz w:val="50"/>
              </w:rPr>
              <w:t> </w:t>
            </w:r>
            <w:r>
              <w:rPr>
                <w:rFonts w:ascii="Trebuchet MS"/>
                <w:b/>
                <w:i/>
                <w:w w:val="80"/>
                <w:sz w:val="50"/>
              </w:rPr>
              <w:t>AND </w:t>
            </w:r>
            <w:r>
              <w:rPr>
                <w:rFonts w:ascii="Trebuchet MS"/>
                <w:b/>
                <w:i/>
                <w:w w:val="75"/>
                <w:sz w:val="50"/>
              </w:rPr>
              <w:t>EMBRITTLEMENT OF ALLOYS</w:t>
            </w:r>
          </w:p>
        </w:tc>
      </w:tr>
      <w:tr>
        <w:trPr>
          <w:trHeight w:val="5057" w:hRule="atLeast"/>
        </w:trPr>
        <w:tc>
          <w:tcPr>
            <w:tcW w:w="11520" w:type="dxa"/>
          </w:tcPr>
          <w:p>
            <w:pPr>
              <w:pStyle w:val="TableParagraph"/>
              <w:spacing w:line="288" w:lineRule="auto" w:before="161"/>
              <w:ind w:left="107" w:right="1064"/>
              <w:jc w:val="both"/>
              <w:rPr>
                <w:sz w:val="24"/>
              </w:rPr>
            </w:pPr>
            <w:r>
              <w:rPr>
                <w:sz w:val="24"/>
              </w:rPr>
              <w:t>Hydrogen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(H)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absorption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into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alloys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governed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by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several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competing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reactions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physical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processes simultaneously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happening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at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metal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surfaces.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resulting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absorbed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H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atoms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drastically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decrease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the fracture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fatigue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resistance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alloys</w:t>
            </w:r>
            <w:r>
              <w:rPr>
                <w:spacing w:val="-14"/>
                <w:sz w:val="24"/>
              </w:rPr>
              <w:t> </w:t>
            </w:r>
            <w:r>
              <w:rPr>
                <w:sz w:val="24"/>
              </w:rPr>
              <w:t>(i.e.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H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embrittlement),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compromising</w:t>
            </w:r>
            <w:r>
              <w:rPr>
                <w:spacing w:val="-10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safety</w:t>
            </w:r>
            <w:r>
              <w:rPr>
                <w:spacing w:val="-11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2"/>
                <w:sz w:val="24"/>
              </w:rPr>
              <w:t> </w:t>
            </w:r>
            <w:r>
              <w:rPr>
                <w:sz w:val="24"/>
              </w:rPr>
              <w:t>durability of metallic structures and components, a major challenge for the transition to H energy. This work </w:t>
            </w:r>
            <w:r>
              <w:rPr>
                <w:spacing w:val="-2"/>
                <w:sz w:val="24"/>
              </w:rPr>
              <w:t>combines</w:t>
            </w:r>
            <w:r>
              <w:rPr>
                <w:spacing w:val="-5"/>
                <w:sz w:val="24"/>
              </w:rPr>
              <w:t> </w:t>
            </w:r>
            <w:r>
              <w:rPr>
                <w:spacing w:val="-2"/>
                <w:sz w:val="24"/>
              </w:rPr>
              <w:t>electrochemical</w:t>
            </w:r>
            <w:r>
              <w:rPr>
                <w:spacing w:val="-5"/>
                <w:sz w:val="24"/>
              </w:rPr>
              <w:t> </w:t>
            </w:r>
            <w:r>
              <w:rPr>
                <w:spacing w:val="-2"/>
                <w:sz w:val="24"/>
              </w:rPr>
              <w:t>and</w:t>
            </w:r>
            <w:r>
              <w:rPr>
                <w:spacing w:val="-7"/>
                <w:sz w:val="24"/>
              </w:rPr>
              <w:t> </w:t>
            </w:r>
            <w:r>
              <w:rPr>
                <w:spacing w:val="-2"/>
                <w:sz w:val="24"/>
              </w:rPr>
              <w:t>material</w:t>
            </w:r>
            <w:r>
              <w:rPr>
                <w:spacing w:val="-8"/>
                <w:sz w:val="24"/>
              </w:rPr>
              <w:t> </w:t>
            </w:r>
            <w:r>
              <w:rPr>
                <w:spacing w:val="-2"/>
                <w:sz w:val="24"/>
              </w:rPr>
              <w:t>characterisation</w:t>
            </w:r>
            <w:r>
              <w:rPr>
                <w:spacing w:val="-4"/>
                <w:sz w:val="24"/>
              </w:rPr>
              <w:t> </w:t>
            </w:r>
            <w:r>
              <w:rPr>
                <w:spacing w:val="-2"/>
                <w:sz w:val="24"/>
              </w:rPr>
              <w:t>techniques</w:t>
            </w:r>
            <w:r>
              <w:rPr>
                <w:spacing w:val="-5"/>
                <w:sz w:val="24"/>
              </w:rPr>
              <w:t> </w:t>
            </w:r>
            <w:r>
              <w:rPr>
                <w:spacing w:val="-2"/>
                <w:sz w:val="24"/>
              </w:rPr>
              <w:t>with</w:t>
            </w:r>
            <w:r>
              <w:rPr>
                <w:spacing w:val="-7"/>
                <w:sz w:val="24"/>
              </w:rPr>
              <w:t> </w:t>
            </w:r>
            <w:r>
              <w:rPr>
                <w:spacing w:val="-2"/>
                <w:sz w:val="24"/>
              </w:rPr>
              <w:t>mechanical</w:t>
            </w:r>
            <w:r>
              <w:rPr>
                <w:spacing w:val="-5"/>
                <w:sz w:val="24"/>
              </w:rPr>
              <w:t> </w:t>
            </w:r>
            <w:r>
              <w:rPr>
                <w:spacing w:val="-2"/>
                <w:sz w:val="24"/>
              </w:rPr>
              <w:t>testing</w:t>
            </w:r>
            <w:r>
              <w:rPr>
                <w:spacing w:val="-3"/>
                <w:sz w:val="24"/>
              </w:rPr>
              <w:t> </w:t>
            </w:r>
            <w:r>
              <w:rPr>
                <w:spacing w:val="-2"/>
                <w:sz w:val="24"/>
              </w:rPr>
              <w:t>to</w:t>
            </w:r>
            <w:r>
              <w:rPr>
                <w:spacing w:val="-6"/>
                <w:sz w:val="24"/>
              </w:rPr>
              <w:t> </w:t>
            </w:r>
            <w:r>
              <w:rPr>
                <w:spacing w:val="-2"/>
                <w:sz w:val="24"/>
              </w:rPr>
              <w:t>bring</w:t>
            </w:r>
            <w:r>
              <w:rPr>
                <w:spacing w:val="-7"/>
                <w:sz w:val="24"/>
              </w:rPr>
              <w:t> </w:t>
            </w:r>
            <w:r>
              <w:rPr>
                <w:spacing w:val="-2"/>
                <w:sz w:val="24"/>
              </w:rPr>
              <w:t>a </w:t>
            </w:r>
            <w:r>
              <w:rPr>
                <w:sz w:val="24"/>
              </w:rPr>
              <w:t>new understanding of hydrogen absorption in Fe and Ni-based alloys and the consequent impact on their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fracture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resistance.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kinetics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H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evolution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reaction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(HER)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was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investigated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using</w:t>
            </w:r>
            <w:r>
              <w:rPr>
                <w:spacing w:val="-13"/>
                <w:sz w:val="24"/>
              </w:rPr>
              <w:t> </w:t>
            </w:r>
            <w:r>
              <w:rPr>
                <w:sz w:val="24"/>
              </w:rPr>
              <w:t>multiple electrochemical techniques (RDE, EIS,</w:t>
            </w:r>
            <w:r>
              <w:rPr>
                <w:spacing w:val="-1"/>
                <w:sz w:val="24"/>
              </w:rPr>
              <w:t> </w:t>
            </w:r>
            <w:r>
              <w:rPr>
                <w:sz w:val="24"/>
              </w:rPr>
              <w:t>ECMS). Hydrogen absorption was evaluated using permeation </w:t>
            </w:r>
            <w:r>
              <w:rPr>
                <w:spacing w:val="-2"/>
                <w:sz w:val="24"/>
              </w:rPr>
              <w:t>transients</w:t>
            </w:r>
            <w:r>
              <w:rPr>
                <w:spacing w:val="-7"/>
                <w:sz w:val="24"/>
              </w:rPr>
              <w:t> </w:t>
            </w:r>
            <w:r>
              <w:rPr>
                <w:spacing w:val="-2"/>
                <w:sz w:val="24"/>
              </w:rPr>
              <w:t>and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2"/>
                <w:sz w:val="24"/>
              </w:rPr>
              <w:t>thermal</w:t>
            </w:r>
            <w:r>
              <w:rPr>
                <w:spacing w:val="-7"/>
                <w:sz w:val="24"/>
              </w:rPr>
              <w:t> </w:t>
            </w:r>
            <w:r>
              <w:rPr>
                <w:spacing w:val="-2"/>
                <w:sz w:val="24"/>
              </w:rPr>
              <w:t>desorption</w:t>
            </w:r>
            <w:r>
              <w:rPr>
                <w:spacing w:val="-5"/>
                <w:sz w:val="24"/>
              </w:rPr>
              <w:t> </w:t>
            </w:r>
            <w:r>
              <w:rPr>
                <w:spacing w:val="-2"/>
                <w:sz w:val="24"/>
              </w:rPr>
              <w:t>spectroscopy</w:t>
            </w:r>
            <w:r>
              <w:rPr>
                <w:spacing w:val="-7"/>
                <w:sz w:val="24"/>
              </w:rPr>
              <w:t> </w:t>
            </w:r>
            <w:r>
              <w:rPr>
                <w:spacing w:val="-2"/>
                <w:sz w:val="24"/>
              </w:rPr>
              <w:t>(TDS).</w:t>
            </w:r>
            <w:r>
              <w:rPr>
                <w:spacing w:val="-7"/>
                <w:sz w:val="24"/>
              </w:rPr>
              <w:t> </w:t>
            </w:r>
            <w:r>
              <w:rPr>
                <w:spacing w:val="-2"/>
                <w:sz w:val="24"/>
              </w:rPr>
              <w:t>Surface</w:t>
            </w:r>
            <w:r>
              <w:rPr>
                <w:spacing w:val="-8"/>
                <w:sz w:val="24"/>
              </w:rPr>
              <w:t> </w:t>
            </w:r>
            <w:r>
              <w:rPr>
                <w:spacing w:val="-2"/>
                <w:sz w:val="24"/>
              </w:rPr>
              <w:t>chemistry</w:t>
            </w:r>
            <w:r>
              <w:rPr>
                <w:spacing w:val="-7"/>
                <w:sz w:val="24"/>
              </w:rPr>
              <w:t> </w:t>
            </w:r>
            <w:r>
              <w:rPr>
                <w:spacing w:val="-2"/>
                <w:sz w:val="24"/>
              </w:rPr>
              <w:t>was</w:t>
            </w:r>
            <w:r>
              <w:rPr>
                <w:spacing w:val="-7"/>
                <w:sz w:val="24"/>
              </w:rPr>
              <w:t> </w:t>
            </w:r>
            <w:r>
              <w:rPr>
                <w:spacing w:val="-2"/>
                <w:sz w:val="24"/>
              </w:rPr>
              <w:t>characterised</w:t>
            </w:r>
            <w:r>
              <w:rPr>
                <w:spacing w:val="-9"/>
                <w:sz w:val="24"/>
              </w:rPr>
              <w:t> </w:t>
            </w:r>
            <w:r>
              <w:rPr>
                <w:spacing w:val="-2"/>
                <w:sz w:val="24"/>
              </w:rPr>
              <w:t>using</w:t>
            </w:r>
            <w:r>
              <w:rPr>
                <w:spacing w:val="-5"/>
                <w:sz w:val="24"/>
              </w:rPr>
              <w:t> </w:t>
            </w:r>
            <w:r>
              <w:rPr>
                <w:spacing w:val="-2"/>
                <w:sz w:val="24"/>
              </w:rPr>
              <w:t>XPS, </w:t>
            </w:r>
            <w:r>
              <w:rPr>
                <w:sz w:val="24"/>
              </w:rPr>
              <w:t>whereas SEM-EBSD analysis investigates the preferred crack propagation paths of tensile-tested specimens with a wide range of H concentrations. The novel combination of techniques used in this work leads to a new understanding of the interplay between environment, metal surface and bulk fracture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behaviour,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which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is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key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to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improving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the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prediction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and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mitigation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of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hydrogen</w:t>
            </w:r>
            <w:r>
              <w:rPr>
                <w:spacing w:val="-15"/>
                <w:sz w:val="24"/>
              </w:rPr>
              <w:t> </w:t>
            </w:r>
            <w:r>
              <w:rPr>
                <w:sz w:val="24"/>
              </w:rPr>
              <w:t>embrittlement.</w:t>
            </w:r>
          </w:p>
        </w:tc>
      </w:tr>
      <w:tr>
        <w:trPr>
          <w:trHeight w:val="103" w:hRule="atLeast"/>
        </w:trPr>
        <w:tc>
          <w:tcPr>
            <w:tcW w:w="11520" w:type="dxa"/>
            <w:shd w:val="clear" w:color="auto" w:fill="0070C0"/>
          </w:tcPr>
          <w:p>
            <w:pPr>
              <w:pStyle w:val="TableParagraph"/>
              <w:rPr>
                <w:rFonts w:ascii="Times New Roman"/>
                <w:sz w:val="8"/>
              </w:rPr>
            </w:pPr>
          </w:p>
        </w:tc>
      </w:tr>
      <w:tr>
        <w:trPr>
          <w:trHeight w:val="1576" w:hRule="atLeast"/>
        </w:trPr>
        <w:tc>
          <w:tcPr>
            <w:tcW w:w="11520" w:type="dxa"/>
          </w:tcPr>
          <w:p>
            <w:pPr>
              <w:pStyle w:val="TableParagraph"/>
              <w:spacing w:line="770" w:lineRule="exact"/>
              <w:ind w:left="84"/>
              <w:jc w:val="center"/>
              <w:rPr>
                <w:rFonts w:ascii="Trebuchet MS" w:hAnsi="Trebuchet MS"/>
                <w:b/>
                <w:sz w:val="68"/>
              </w:rPr>
            </w:pPr>
            <w:r>
              <w:rPr>
                <w:rFonts w:ascii="Trebuchet MS" w:hAnsi="Trebuchet MS"/>
                <w:b/>
                <w:i/>
                <w:w w:val="80"/>
                <w:sz w:val="71"/>
              </w:rPr>
              <w:t>26</w:t>
            </w:r>
            <w:r>
              <w:rPr>
                <w:rFonts w:ascii="Trebuchet MS" w:hAnsi="Trebuchet MS"/>
                <w:b/>
                <w:i/>
                <w:spacing w:val="-42"/>
                <w:sz w:val="71"/>
              </w:rPr>
              <w:t> </w:t>
            </w:r>
            <w:r>
              <w:rPr>
                <w:rFonts w:ascii="Trebuchet MS" w:hAnsi="Trebuchet MS"/>
                <w:b/>
                <w:i/>
                <w:w w:val="80"/>
                <w:sz w:val="71"/>
              </w:rPr>
              <w:t>NOVEMBRO</w:t>
            </w:r>
            <w:r>
              <w:rPr>
                <w:rFonts w:ascii="Trebuchet MS" w:hAnsi="Trebuchet MS"/>
                <w:b/>
                <w:i/>
                <w:spacing w:val="-2"/>
                <w:w w:val="80"/>
                <w:sz w:val="71"/>
              </w:rPr>
              <w:t> </w:t>
            </w:r>
            <w:r>
              <w:rPr>
                <w:rFonts w:ascii="Trebuchet MS" w:hAnsi="Trebuchet MS"/>
                <w:b/>
                <w:i/>
                <w:w w:val="80"/>
                <w:sz w:val="71"/>
              </w:rPr>
              <w:t>2025</w:t>
            </w:r>
            <w:r>
              <w:rPr>
                <w:rFonts w:ascii="Trebuchet MS" w:hAnsi="Trebuchet MS"/>
                <w:b/>
                <w:i/>
                <w:spacing w:val="-43"/>
                <w:sz w:val="71"/>
              </w:rPr>
              <w:t> </w:t>
            </w:r>
            <w:r>
              <w:rPr>
                <w:rFonts w:ascii="Trebuchet MS" w:hAnsi="Trebuchet MS"/>
                <w:b/>
                <w:w w:val="80"/>
                <w:sz w:val="68"/>
              </w:rPr>
              <w:t>–</w:t>
            </w:r>
            <w:r>
              <w:rPr>
                <w:rFonts w:ascii="Trebuchet MS" w:hAnsi="Trebuchet MS"/>
                <w:b/>
                <w:spacing w:val="-35"/>
                <w:sz w:val="68"/>
              </w:rPr>
              <w:t> </w:t>
            </w:r>
            <w:r>
              <w:rPr>
                <w:rFonts w:ascii="Trebuchet MS" w:hAnsi="Trebuchet MS"/>
                <w:b/>
                <w:w w:val="80"/>
                <w:sz w:val="68"/>
              </w:rPr>
              <w:t>16</w:t>
            </w:r>
            <w:r>
              <w:rPr>
                <w:rFonts w:ascii="Trebuchet MS" w:hAnsi="Trebuchet MS"/>
                <w:b/>
                <w:spacing w:val="-32"/>
                <w:sz w:val="68"/>
              </w:rPr>
              <w:t> </w:t>
            </w:r>
            <w:r>
              <w:rPr>
                <w:rFonts w:ascii="Trebuchet MS" w:hAnsi="Trebuchet MS"/>
                <w:b/>
                <w:spacing w:val="-10"/>
                <w:w w:val="80"/>
                <w:sz w:val="68"/>
              </w:rPr>
              <w:t>h</w:t>
            </w:r>
          </w:p>
          <w:p>
            <w:pPr>
              <w:pStyle w:val="TableParagraph"/>
              <w:spacing w:line="754" w:lineRule="exact"/>
              <w:ind w:left="84" w:right="7"/>
              <w:jc w:val="center"/>
              <w:rPr>
                <w:rFonts w:ascii="Trebuchet MS" w:hAnsi="Trebuchet MS"/>
                <w:b/>
                <w:sz w:val="68"/>
              </w:rPr>
            </w:pPr>
            <w:r>
              <w:rPr>
                <w:rFonts w:ascii="Trebuchet MS" w:hAnsi="Trebuchet MS"/>
                <w:b/>
                <w:color w:val="0070C0"/>
                <w:w w:val="80"/>
                <w:sz w:val="68"/>
              </w:rPr>
              <w:t>Sala</w:t>
            </w:r>
            <w:r>
              <w:rPr>
                <w:rFonts w:ascii="Trebuchet MS" w:hAnsi="Trebuchet MS"/>
                <w:b/>
                <w:color w:val="0070C0"/>
                <w:spacing w:val="-1"/>
                <w:sz w:val="68"/>
              </w:rPr>
              <w:t> </w:t>
            </w:r>
            <w:r>
              <w:rPr>
                <w:rFonts w:ascii="Trebuchet MS" w:hAnsi="Trebuchet MS"/>
                <w:b/>
                <w:color w:val="0070C0"/>
                <w:w w:val="80"/>
                <w:sz w:val="68"/>
              </w:rPr>
              <w:t>de</w:t>
            </w:r>
            <w:r>
              <w:rPr>
                <w:rFonts w:ascii="Trebuchet MS" w:hAnsi="Trebuchet MS"/>
                <w:b/>
                <w:color w:val="0070C0"/>
                <w:sz w:val="68"/>
              </w:rPr>
              <w:t> </w:t>
            </w:r>
            <w:r>
              <w:rPr>
                <w:rFonts w:ascii="Trebuchet MS" w:hAnsi="Trebuchet MS"/>
                <w:b/>
                <w:color w:val="0070C0"/>
                <w:w w:val="80"/>
                <w:sz w:val="68"/>
              </w:rPr>
              <w:t>seminários</w:t>
            </w:r>
            <w:r>
              <w:rPr>
                <w:rFonts w:ascii="Trebuchet MS" w:hAnsi="Trebuchet MS"/>
                <w:b/>
                <w:color w:val="0070C0"/>
                <w:spacing w:val="5"/>
                <w:sz w:val="68"/>
              </w:rPr>
              <w:t> </w:t>
            </w:r>
            <w:r>
              <w:rPr>
                <w:rFonts w:ascii="Trebuchet MS" w:hAnsi="Trebuchet MS"/>
                <w:b/>
                <w:color w:val="0070C0"/>
                <w:w w:val="80"/>
                <w:sz w:val="68"/>
              </w:rPr>
              <w:t>do</w:t>
            </w:r>
            <w:r>
              <w:rPr>
                <w:rFonts w:ascii="Trebuchet MS" w:hAnsi="Trebuchet MS"/>
                <w:b/>
                <w:color w:val="0070C0"/>
                <w:spacing w:val="1"/>
                <w:sz w:val="68"/>
              </w:rPr>
              <w:t> </w:t>
            </w:r>
            <w:r>
              <w:rPr>
                <w:rFonts w:ascii="Trebuchet MS" w:hAnsi="Trebuchet MS"/>
                <w:b/>
                <w:color w:val="0070C0"/>
                <w:spacing w:val="-2"/>
                <w:w w:val="80"/>
                <w:sz w:val="68"/>
              </w:rPr>
              <w:t>PPGCEM</w:t>
            </w:r>
          </w:p>
        </w:tc>
      </w:tr>
    </w:tbl>
    <w:sectPr>
      <w:type w:val="continuous"/>
      <w:pgSz w:w="12240" w:h="15840"/>
      <w:pgMar w:top="80" w:bottom="0" w:left="360" w:right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Franklin Gothic Medium">
    <w:altName w:val="Franklin Gothic Medium"/>
    <w:charset w:val="1"/>
    <w:family w:val="swiss"/>
    <w:pitch w:val="variable"/>
  </w:font>
  <w:font w:name="Trebuchet MS">
    <w:altName w:val="Trebuchet MS"/>
    <w:charset w:val="1"/>
    <w:family w:val="swiss"/>
    <w:pitch w:val="variable"/>
  </w:font>
  <w:font w:name="Segoe UI Black">
    <w:altName w:val="Segoe UI Black"/>
    <w:charset w:val="1"/>
    <w:family w:val="swiss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lang w:val="en-US" w:eastAsia="en-US" w:bidi="ar-SA"/>
    </w:rPr>
  </w:style>
  <w:style w:styleId="Title" w:type="paragraph">
    <w:name w:val="Title"/>
    <w:basedOn w:val="Normal"/>
    <w:uiPriority w:val="1"/>
    <w:qFormat/>
    <w:pPr>
      <w:spacing w:before="4"/>
    </w:pPr>
    <w:rPr>
      <w:rFonts w:ascii="Times New Roman" w:hAnsi="Times New Roman" w:eastAsia="Times New Roman" w:cs="Times New Roman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Franklin Gothic Medium" w:hAnsi="Franklin Gothic Medium" w:eastAsia="Franklin Gothic Medium" w:cs="Franklin Gothic Medium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Company/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Francys Moreira</dc:creator>
  <dc:description/>
  <dcterms:created xsi:type="dcterms:W3CDTF">2025-11-24T10:59:51Z</dcterms:created>
  <dcterms:modified xsi:type="dcterms:W3CDTF">2025-11-24T10:59:51Z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0x01010079F111ED35F8CC479449609E8A0923A6</vt:lpwstr>
  </property>
  <property fmtid="{D5CDD505-2E9C-101B-9397-08002B2CF9AE}" pid="3" name="Created">
    <vt:filetime>2025-11-17T00:00:00Z</vt:filetime>
  </property>
  <property fmtid="{D5CDD505-2E9C-101B-9397-08002B2CF9AE}" pid="4" name="Creator">
    <vt:lpwstr>Acrobat PDFMaker 11 para Word</vt:lpwstr>
  </property>
  <property fmtid="{D5CDD505-2E9C-101B-9397-08002B2CF9AE}" pid="5" name="LastSaved">
    <vt:filetime>2025-11-24T00:00:00Z</vt:filetime>
  </property>
  <property fmtid="{D5CDD505-2E9C-101B-9397-08002B2CF9AE}" pid="6" name="Producer">
    <vt:lpwstr>Adobe PDF Library 11.0</vt:lpwstr>
  </property>
  <property fmtid="{D5CDD505-2E9C-101B-9397-08002B2CF9AE}" pid="7" name="SourceModified">
    <vt:lpwstr>D:20251117131212</vt:lpwstr>
  </property>
</Properties>
</file>