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jc w:val="both"/>
        <w:rPr>
          <w:color w:val="500050"/>
        </w:rPr>
      </w:pPr>
      <w:r>
        <w:rPr/>
        <w:t xml:space="preserve"> </w:t>
      </w:r>
      <w:r>
        <w:rPr>
          <w:rFonts w:eastAsia="Verdana" w:cs="Verdana" w:ascii="Verdana" w:hAnsi="Verdana"/>
        </w:rPr>
        <w:t xml:space="preserve"> </w:t>
      </w:r>
      <w:r>
        <w:rPr>
          <w:rFonts w:eastAsia="Verdana" w:cs="Verdana" w:ascii="Verdana" w:hAnsi="Verdana"/>
        </w:rPr>
        <w:t xml:space="preserve">A Pró-Reitoria de Gestão de Pessoas (ProGPe) informa que a partir de 17/01/2023, haverá alterações sobre </w:t>
      </w:r>
      <w:r>
        <w:rPr>
          <w:color w:val="990000"/>
          <w:shd w:fill="FCE5CD" w:val="clear"/>
        </w:rPr>
        <w:t>l</w:t>
      </w:r>
      <w:r>
        <w:rPr>
          <w:b/>
          <w:color w:val="990000"/>
          <w:shd w:fill="FCE5CD" w:val="clear"/>
        </w:rPr>
        <w:t xml:space="preserve">icença para tratamento de saúde </w:t>
      </w:r>
      <w:r>
        <w:rPr>
          <w:rFonts w:eastAsia="Verdana" w:cs="Verdana" w:ascii="Verdana" w:hAnsi="Verdana"/>
        </w:rPr>
        <w:t xml:space="preserve">para os servidores federais de acordo com </w:t>
      </w:r>
      <w:r>
        <w:rPr>
          <w:b/>
          <w:color w:val="162937"/>
        </w:rPr>
        <w:t xml:space="preserve">DECRETO Nº 11.255, DE 9 DE NOVEMBRO DE 2022. </w:t>
      </w:r>
      <w:r>
        <w:rPr>
          <w:color w:val="500050"/>
        </w:rPr>
        <w:t xml:space="preserve">Pedimos especial atenção para os seguintes aspectos: </w:t>
      </w:r>
    </w:p>
    <w:p>
      <w:pPr>
        <w:pStyle w:val="Normal1"/>
        <w:numPr>
          <w:ilvl w:val="0"/>
          <w:numId w:val="1"/>
        </w:numPr>
        <w:spacing w:lineRule="auto" w:line="240" w:before="200" w:afterAutospacing="0" w:after="0"/>
        <w:ind w:left="940" w:hanging="360"/>
        <w:rPr/>
      </w:pPr>
      <w:r>
        <w:rPr>
          <w:rFonts w:eastAsia="Verdana" w:cs="Verdana" w:ascii="Verdana" w:hAnsi="Verdana"/>
        </w:rPr>
        <w:t xml:space="preserve">A  </w:t>
      </w:r>
      <w:r>
        <w:rPr>
          <w:rFonts w:eastAsia="Verdana" w:cs="Verdana" w:ascii="Verdana" w:hAnsi="Verdana"/>
          <w:color w:val="162937"/>
        </w:rPr>
        <w:t>avaliação por junta oficial passará a ser realizada por, no mínimo, dois médicos ou dois cirurgiões-dentistas. Na hipótese de empate, quando realizada junta oficial, outro profissional médico ou cirurgião-dentista será convocado para proferir voto de qualidade.</w:t>
      </w:r>
    </w:p>
    <w:p>
      <w:pPr>
        <w:pStyle w:val="Normal1"/>
        <w:numPr>
          <w:ilvl w:val="0"/>
          <w:numId w:val="6"/>
        </w:numPr>
        <w:spacing w:lineRule="auto" w:line="240" w:beforeAutospacing="0" w:before="0" w:after="200"/>
        <w:ind w:left="940" w:hanging="360"/>
        <w:rPr/>
      </w:pPr>
      <w:r>
        <w:rPr>
          <w:rFonts w:eastAsia="Verdana" w:cs="Verdana" w:ascii="Verdana" w:hAnsi="Verdana"/>
          <w:color w:val="162937"/>
        </w:rPr>
        <w:t>A perícia oficial poderá ser realizada nas seguintes modalidades:</w:t>
      </w:r>
    </w:p>
    <w:p>
      <w:pPr>
        <w:pStyle w:val="Normal1"/>
        <w:shd w:val="clear" w:fill="FFFFFF"/>
        <w:spacing w:lineRule="auto" w:line="360" w:before="0" w:after="160"/>
        <w:ind w:left="2400" w:firstLine="1100"/>
        <w:jc w:val="both"/>
        <w:rPr>
          <w:rFonts w:ascii="Verdana" w:hAnsi="Verdana" w:eastAsia="Verdana" w:cs="Verdana"/>
          <w:color w:val="162937"/>
        </w:rPr>
      </w:pPr>
      <w:r>
        <w:rPr>
          <w:rFonts w:eastAsia="Verdana" w:cs="Verdana" w:ascii="Verdana" w:hAnsi="Verdana"/>
          <w:color w:val="162937"/>
        </w:rPr>
        <w:t>I - avaliação presencial;</w:t>
      </w:r>
    </w:p>
    <w:p>
      <w:pPr>
        <w:pStyle w:val="Normal1"/>
        <w:shd w:val="clear" w:fill="FFFFFF"/>
        <w:spacing w:lineRule="auto" w:line="360" w:before="0" w:after="160"/>
        <w:ind w:left="2400" w:firstLine="1100"/>
        <w:jc w:val="both"/>
        <w:rPr>
          <w:rFonts w:ascii="Verdana" w:hAnsi="Verdana" w:eastAsia="Verdana" w:cs="Verdana"/>
          <w:color w:val="162937"/>
        </w:rPr>
      </w:pPr>
      <w:r>
        <w:rPr>
          <w:rFonts w:eastAsia="Verdana" w:cs="Verdana" w:ascii="Verdana" w:hAnsi="Verdana"/>
          <w:color w:val="162937"/>
        </w:rPr>
        <w:t>II - avaliação por meio de telessaúde, quando expressamente autorizada pelo servidor; ou</w:t>
      </w:r>
    </w:p>
    <w:p>
      <w:pPr>
        <w:pStyle w:val="Normal1"/>
        <w:shd w:val="clear" w:fill="FFFFFF"/>
        <w:spacing w:lineRule="auto" w:line="360" w:before="0" w:after="160"/>
        <w:ind w:left="2400" w:firstLine="1100"/>
        <w:jc w:val="both"/>
        <w:rPr>
          <w:rFonts w:ascii="Verdana" w:hAnsi="Verdana" w:eastAsia="Verdana" w:cs="Verdana"/>
          <w:color w:val="162937"/>
        </w:rPr>
      </w:pPr>
      <w:r>
        <w:rPr>
          <w:rFonts w:eastAsia="Verdana" w:cs="Verdana" w:ascii="Verdana" w:hAnsi="Verdana"/>
          <w:color w:val="162937"/>
        </w:rPr>
        <w:t>III - análise documental.</w:t>
      </w:r>
    </w:p>
    <w:p>
      <w:pPr>
        <w:pStyle w:val="Normal1"/>
        <w:numPr>
          <w:ilvl w:val="0"/>
          <w:numId w:val="2"/>
        </w:numPr>
        <w:spacing w:lineRule="auto" w:line="240" w:before="200" w:afterAutospacing="0" w:after="0"/>
        <w:ind w:left="2140" w:hanging="360"/>
        <w:rPr/>
      </w:pPr>
      <w:r>
        <w:rPr>
          <w:rFonts w:eastAsia="Verdana" w:cs="Verdana" w:ascii="Verdana" w:hAnsi="Verdana"/>
          <w:color w:val="162937"/>
        </w:rPr>
        <w:t>Ao servidor é assegurado o direito de recusar a avaliação por meio de telessaúde. A opção será realizada no momento do encaminhamento do atestado. O servidor poderá optar pela perícia presencial até a conclusão da avaliação pericial.</w:t>
      </w:r>
    </w:p>
    <w:p>
      <w:pPr>
        <w:pStyle w:val="Normal1"/>
        <w:numPr>
          <w:ilvl w:val="0"/>
          <w:numId w:val="7"/>
        </w:numPr>
        <w:spacing w:lineRule="auto" w:line="240" w:beforeAutospacing="0" w:before="0" w:afterAutospacing="0" w:after="0"/>
        <w:ind w:left="2140" w:hanging="360"/>
        <w:rPr/>
      </w:pPr>
      <w:r>
        <w:rPr>
          <w:rFonts w:eastAsia="Verdana" w:cs="Verdana" w:ascii="Verdana" w:hAnsi="Verdana"/>
          <w:color w:val="162937"/>
        </w:rPr>
        <w:t>Ao médico ou ao cirurgião-dentista é assegurada a autonomia para escolher entre as modalidades de realização de perícia oficial. Caso considere necessário, o perito poderá optar pela perícia presencial a qualquer tempo.</w:t>
      </w:r>
    </w:p>
    <w:p>
      <w:pPr>
        <w:pStyle w:val="Normal1"/>
        <w:numPr>
          <w:ilvl w:val="0"/>
          <w:numId w:val="8"/>
        </w:numPr>
        <w:spacing w:lineRule="auto" w:line="240" w:beforeAutospacing="0" w:before="0" w:afterAutospacing="0" w:after="0"/>
        <w:ind w:left="2140" w:hanging="360"/>
        <w:rPr/>
      </w:pPr>
      <w:r>
        <w:rPr>
          <w:rFonts w:eastAsia="Verdana" w:cs="Verdana" w:ascii="Verdana" w:hAnsi="Verdana"/>
          <w:color w:val="500050"/>
        </w:rPr>
        <w:t xml:space="preserve">Poderá ocorrer a dispensa da perícia oficial, caso o período de afastamento seja inferior a quinze dias corridos e o atestado médico ou odontológico seja encaminhado por meio de plataforma digital do Governo federal. </w:t>
      </w:r>
    </w:p>
    <w:p>
      <w:pPr>
        <w:pStyle w:val="Normal1"/>
        <w:numPr>
          <w:ilvl w:val="0"/>
          <w:numId w:val="3"/>
        </w:numPr>
        <w:spacing w:lineRule="auto" w:line="240" w:beforeAutospacing="0" w:before="0" w:afterAutospacing="0" w:after="0"/>
        <w:ind w:left="2140" w:hanging="360"/>
        <w:rPr/>
      </w:pPr>
      <w:r>
        <w:rPr>
          <w:rFonts w:eastAsia="Verdana" w:cs="Verdana" w:ascii="Verdana" w:hAnsi="Verdana"/>
          <w:color w:val="500050"/>
        </w:rPr>
        <w:t>Ao servidor é assegurado o direito de não autorizar a especificação do diagnóstico em seu atestado, hipótese em que deverá submeter-se à perícia oficial, ainda que a licença não exceda o prazo previsto.</w:t>
      </w:r>
    </w:p>
    <w:p>
      <w:pPr>
        <w:pStyle w:val="Normal1"/>
        <w:numPr>
          <w:ilvl w:val="0"/>
          <w:numId w:val="5"/>
        </w:numPr>
        <w:spacing w:lineRule="auto" w:line="240" w:beforeAutospacing="0" w:before="0" w:afterAutospacing="0" w:after="0"/>
        <w:ind w:left="2140" w:hanging="360"/>
        <w:rPr/>
      </w:pPr>
      <w:r>
        <w:rPr>
          <w:rFonts w:eastAsia="Verdana" w:cs="Verdana" w:ascii="Verdana" w:hAnsi="Verdana"/>
          <w:color w:val="162937"/>
        </w:rPr>
        <w:t>A perícia oficial poderá ser dispensada para a concessão da licença por motivo de doença em pessoa da família nos termos do disposto no art. 83 da Lei nº 8.112, de 1990, desde que seja inferior a quinze dias corridos, mediante apresentação de atestado médico ou odontológico, conforme o caso, que contenha justificativa quanto à necessidade de acompanhamento por terceiro.</w:t>
      </w:r>
    </w:p>
    <w:p>
      <w:pPr>
        <w:pStyle w:val="Normal1"/>
        <w:numPr>
          <w:ilvl w:val="0"/>
          <w:numId w:val="4"/>
        </w:numPr>
        <w:spacing w:lineRule="auto" w:line="240" w:beforeAutospacing="0" w:before="0" w:after="200"/>
        <w:ind w:left="2140" w:hanging="360"/>
        <w:rPr/>
      </w:pPr>
      <w:r>
        <w:rPr>
          <w:rFonts w:eastAsia="Verdana" w:cs="Verdana" w:ascii="Verdana" w:hAnsi="Verdana"/>
          <w:b/>
          <w:color w:val="990000"/>
          <w:shd w:fill="FCE5CD" w:val="clear"/>
        </w:rPr>
        <w:t>O não comparecimento do servidor à avaliação pericial agendada</w:t>
      </w:r>
      <w:r>
        <w:rPr>
          <w:rFonts w:eastAsia="Verdana" w:cs="Verdana" w:ascii="Verdana" w:hAnsi="Verdana"/>
          <w:color w:val="990000"/>
        </w:rPr>
        <w:t xml:space="preserve">, exceto por motivo justificado, </w:t>
      </w:r>
      <w:r>
        <w:rPr>
          <w:rFonts w:eastAsia="Verdana" w:cs="Verdana" w:ascii="Verdana" w:hAnsi="Verdana"/>
          <w:b/>
          <w:color w:val="990000"/>
        </w:rPr>
        <w:t>caracterizará</w:t>
      </w:r>
      <w:r>
        <w:rPr>
          <w:rFonts w:eastAsia="Verdana" w:cs="Verdana" w:ascii="Verdana" w:hAnsi="Verdana"/>
          <w:b/>
          <w:color w:val="990000"/>
          <w:shd w:fill="FCE5CD" w:val="clear"/>
        </w:rPr>
        <w:t xml:space="preserve"> falta ao serviço no período indicado no atestado de saúde</w:t>
      </w:r>
      <w:r>
        <w:rPr>
          <w:rFonts w:eastAsia="Verdana" w:cs="Verdana" w:ascii="Verdana" w:hAnsi="Verdana"/>
          <w:color w:val="990000"/>
        </w:rPr>
        <w:t>, nos termos do disposto no inciso I do</w:t>
      </w:r>
      <w:r>
        <w:rPr>
          <w:rFonts w:eastAsia="Verdana" w:cs="Verdana" w:ascii="Verdana" w:hAnsi="Verdana"/>
          <w:b/>
          <w:color w:val="990000"/>
        </w:rPr>
        <w:t>caput</w:t>
      </w:r>
      <w:r>
        <w:rPr>
          <w:rFonts w:eastAsia="Verdana" w:cs="Verdana" w:ascii="Verdana" w:hAnsi="Verdana"/>
          <w:color w:val="990000"/>
        </w:rPr>
        <w:t>do art. 44 da Lei nº 8.112, de 1990.</w:t>
      </w:r>
    </w:p>
    <w:p>
      <w:pPr>
        <w:pStyle w:val="Normal1"/>
        <w:shd w:val="clear" w:fill="FFFFFF"/>
        <w:rPr>
          <w:rFonts w:ascii="Verdana" w:hAnsi="Verdana" w:eastAsia="Verdana" w:cs="Verdana"/>
          <w:b/>
          <w:b/>
          <w:shd w:fill="FCE5CD" w:val="clear"/>
        </w:rPr>
      </w:pPr>
      <w:r>
        <w:rPr>
          <w:rFonts w:eastAsia="Verdana" w:cs="Verdana" w:ascii="Verdana" w:hAnsi="Verdana"/>
          <w:b/>
          <w:color w:val="990000"/>
          <w:shd w:fill="FCE5CD" w:val="clear"/>
        </w:rPr>
        <w:t>Reiteramos que o Serviço de Perícias Médicas (SerPM/ProGPe) continuará recebendo os atestados médicos e odontológicos exclusivamente por meio da plataforma SouGov.</w:t>
      </w:r>
      <w:r>
        <w:rPr>
          <w:rFonts w:eastAsia="Verdana" w:cs="Verdana" w:ascii="Verdana" w:hAnsi="Verdana"/>
          <w:b/>
          <w:shd w:fill="FCE5CD" w:val="clear"/>
        </w:rPr>
        <w:t xml:space="preserve"> Os atestados deverão ser inseridos no </w:t>
      </w:r>
      <w:r>
        <w:rPr>
          <w:color w:val="500050"/>
        </w:rPr>
        <w:t>SouGov</w:t>
      </w:r>
      <w:r>
        <w:rPr>
          <w:rFonts w:eastAsia="Verdana" w:cs="Verdana" w:ascii="Verdana" w:hAnsi="Verdana"/>
          <w:b/>
          <w:shd w:fill="FCE5CD" w:val="clear"/>
        </w:rPr>
        <w:t xml:space="preserve"> no prazo máximo de até cinco dias corridos do início do afastamento do servidor (data do atestado), conforme §4º do Art. 4º do Decreto nº 7.003, de 2009 e após esse período eles não são aceitos pelo sistema.</w:t>
      </w:r>
    </w:p>
    <w:p>
      <w:pPr>
        <w:pStyle w:val="Normal1"/>
        <w:shd w:val="clear" w:fill="FFFFFF"/>
        <w:spacing w:lineRule="auto" w:line="240" w:before="120" w:after="120"/>
        <w:ind w:left="120" w:right="120" w:hanging="0"/>
        <w:jc w:val="both"/>
        <w:rPr>
          <w:rFonts w:ascii="Verdana" w:hAnsi="Verdana" w:eastAsia="Verdana" w:cs="Verdana"/>
        </w:rPr>
      </w:pPr>
      <w:r>
        <w:rPr>
          <w:rFonts w:eastAsia="Verdana" w:cs="Verdana" w:ascii="Verdana" w:hAnsi="Verdana"/>
        </w:rPr>
      </w:r>
    </w:p>
    <w:p>
      <w:pPr>
        <w:pStyle w:val="Normal1"/>
        <w:shd w:val="clear" w:fill="FFFFFF"/>
        <w:spacing w:lineRule="auto" w:line="240" w:before="120" w:after="120"/>
        <w:ind w:left="120" w:right="120" w:hanging="0"/>
        <w:jc w:val="both"/>
        <w:rPr>
          <w:rFonts w:ascii="Verdana" w:hAnsi="Verdana" w:eastAsia="Verdana" w:cs="Verdana"/>
          <w:b/>
          <w:b/>
        </w:rPr>
      </w:pPr>
      <w:r>
        <w:rPr>
          <w:rFonts w:eastAsia="Verdana" w:cs="Verdana" w:ascii="Verdana" w:hAnsi="Verdana"/>
          <w:b/>
        </w:rPr>
        <w:t xml:space="preserve">Por tanto, pedimos que nos auxiliem na divulgação dessa informação e orientem os servidores a acessarem o site da </w:t>
      </w:r>
      <w:hyperlink r:id="rId2">
        <w:r>
          <w:rPr>
            <w:rFonts w:eastAsia="Verdana" w:cs="Verdana" w:ascii="Verdana" w:hAnsi="Verdana"/>
            <w:b/>
            <w:color w:val="1155CC"/>
            <w:u w:val="single"/>
          </w:rPr>
          <w:t>ProGPe</w:t>
        </w:r>
      </w:hyperlink>
      <w:r>
        <w:rPr>
          <w:rFonts w:eastAsia="Verdana" w:cs="Verdana" w:ascii="Verdana" w:hAnsi="Verdana"/>
          <w:b/>
        </w:rPr>
        <w:t xml:space="preserve"> para consulta às novas regras em </w:t>
      </w:r>
      <w:hyperlink r:id="rId3">
        <w:r>
          <w:rPr>
            <w:rFonts w:eastAsia="Verdana" w:cs="Verdana" w:ascii="Verdana" w:hAnsi="Verdana"/>
            <w:b/>
            <w:color w:val="1155CC"/>
            <w:u w:val="single"/>
          </w:rPr>
          <w:t>"Licença para tratamento da própria saúde"</w:t>
        </w:r>
      </w:hyperlink>
      <w:r>
        <w:rPr>
          <w:rFonts w:eastAsia="Verdana" w:cs="Verdana" w:ascii="Verdana" w:hAnsi="Verdana"/>
          <w:b/>
        </w:rPr>
        <w:t xml:space="preserve"> e </w:t>
      </w:r>
      <w:hyperlink r:id="rId4">
        <w:r>
          <w:rPr>
            <w:rFonts w:eastAsia="Verdana" w:cs="Verdana" w:ascii="Verdana" w:hAnsi="Verdana"/>
            <w:b/>
            <w:color w:val="1155CC"/>
            <w:u w:val="single"/>
          </w:rPr>
          <w:t>"Licença por motivo de doença em pessoa da família"</w:t>
        </w:r>
      </w:hyperlink>
      <w:r>
        <w:rPr>
          <w:rFonts w:eastAsia="Verdana" w:cs="Verdana" w:ascii="Verdana" w:hAnsi="Verdana"/>
          <w:b/>
        </w:rPr>
        <w:t xml:space="preserve">. </w:t>
      </w:r>
    </w:p>
    <w:p>
      <w:pPr>
        <w:pStyle w:val="Normal1"/>
        <w:shd w:val="clear" w:fill="FFFFFF"/>
        <w:spacing w:lineRule="auto" w:line="240" w:before="120" w:after="120"/>
        <w:ind w:left="120" w:right="120" w:hanging="0"/>
        <w:jc w:val="both"/>
        <w:rPr>
          <w:rFonts w:ascii="Verdana" w:hAnsi="Verdana" w:eastAsia="Verdana" w:cs="Verdana"/>
          <w:b/>
          <w:b/>
        </w:rPr>
      </w:pPr>
      <w:r>
        <w:rPr>
          <w:rFonts w:eastAsia="Verdana" w:cs="Verdana" w:ascii="Verdana" w:hAnsi="Verdana"/>
          <w:b/>
        </w:rPr>
      </w:r>
    </w:p>
    <w:p>
      <w:pPr>
        <w:pStyle w:val="Normal1"/>
        <w:shd w:val="clear" w:fill="FFFFFF"/>
        <w:spacing w:lineRule="auto" w:line="240" w:before="120" w:after="120"/>
        <w:ind w:left="120" w:right="120" w:hanging="0"/>
        <w:jc w:val="both"/>
        <w:rPr>
          <w:rFonts w:ascii="Verdana" w:hAnsi="Verdana" w:eastAsia="Verdana" w:cs="Verdana"/>
          <w:b/>
          <w:b/>
          <w:color w:val="1155CC"/>
        </w:rPr>
      </w:pPr>
      <w:r>
        <w:rPr>
          <w:rFonts w:eastAsia="Verdana" w:cs="Verdana" w:ascii="Verdana" w:hAnsi="Verdana"/>
          <w:b/>
        </w:rPr>
        <w:t xml:space="preserve">Dúvidas poderão ser esclarecidas pelo e-mail </w:t>
      </w:r>
      <w:r>
        <w:rPr>
          <w:rFonts w:eastAsia="Verdana" w:cs="Verdana" w:ascii="Verdana" w:hAnsi="Verdana"/>
          <w:b/>
          <w:color w:val="1155CC"/>
        </w:rPr>
        <w:t>saude.progpe@ufscar.br</w:t>
      </w:r>
    </w:p>
    <w:p>
      <w:pPr>
        <w:pStyle w:val="Normal1"/>
        <w:shd w:val="clear" w:fill="FFFFFF"/>
        <w:rPr>
          <w:b/>
          <w:b/>
          <w:color w:val="500050"/>
        </w:rPr>
      </w:pPr>
      <w:r>
        <w:rPr>
          <w:b/>
          <w:color w:val="500050"/>
        </w:rPr>
      </w:r>
    </w:p>
    <w:p>
      <w:pPr>
        <w:pStyle w:val="Normal1"/>
        <w:rPr/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roman"/>
    <w:pitch w:val="variable"/>
  </w:font>
  <w:font w:name="Arial">
    <w:charset w:val="01"/>
    <w:family w:val="swiss"/>
    <w:pitch w:val="variable"/>
  </w:font>
  <w:font w:name="Wingdings 2">
    <w:charset w:val="02"/>
    <w:family w:val="auto"/>
    <w:pitch w:val="default"/>
  </w:font>
  <w:font w:name="OpenSymbol">
    <w:altName w:val="Arial Unicode MS"/>
    <w:charset w:val="01"/>
    <w:family w:val="auto"/>
    <w:pitch w:val="default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u w:val="none"/>
        <w:szCs w:val="22"/>
        <w:color w:val="500050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9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00" w:after="120"/>
    </w:pPr>
    <w:rPr>
      <w:sz w:val="40"/>
      <w:szCs w:val="40"/>
    </w:rPr>
  </w:style>
  <w:style w:type="paragraph" w:styleId="Ttulo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120"/>
    </w:pPr>
    <w:rPr>
      <w:b w:val="false"/>
      <w:sz w:val="32"/>
      <w:szCs w:val="32"/>
    </w:rPr>
  </w:style>
  <w:style w:type="paragraph" w:styleId="Ttulo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320" w:after="80"/>
    </w:pPr>
    <w:rPr>
      <w:b w:val="false"/>
      <w:color w:val="434343"/>
      <w:sz w:val="28"/>
      <w:szCs w:val="28"/>
    </w:rPr>
  </w:style>
  <w:style w:type="paragraph" w:styleId="Ttulo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Ttulo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Ttulo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color w:val="666666"/>
      <w:sz w:val="22"/>
      <w:szCs w:val="22"/>
    </w:rPr>
  </w:style>
  <w:style w:type="character" w:styleId="LinkdaInternet">
    <w:name w:val="Link da Internet"/>
    <w:rPr>
      <w:color w:val="000080"/>
      <w:u w:val="single"/>
      <w:lang w:val="zxx" w:eastAsia="zxx" w:bidi="zxx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Normal1" w:default="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dodocumento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tulo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progpe.ufscar.br/" TargetMode="External"/><Relationship Id="rId3" Type="http://schemas.openxmlformats.org/officeDocument/2006/relationships/hyperlink" Target="https://www.progpe.ufscar.br/servicos/afastamentos-e-licencas-1/licenca-para-tratamento-da-propria-saude" TargetMode="External"/><Relationship Id="rId4" Type="http://schemas.openxmlformats.org/officeDocument/2006/relationships/hyperlink" Target="https://www.progpe.ufscar.br/servicos/afastamentos-e-licencas-1/licenca-por-motivo-de-doenca-em-pessoa-da-familia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LibreOffice/7.3.4.2$Windows_X86_64 LibreOffice_project/728fec16bd5f605073805c3c9e7c4212a0120dc5</Application>
  <AppVersion>15.0000</AppVersion>
  <Pages>2</Pages>
  <Words>470</Words>
  <Characters>2526</Characters>
  <CharactersWithSpaces>2979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cp:revision>0</cp:revision>
  <dc:subject/>
  <dc:title/>
</cp:coreProperties>
</file>